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snapToGrid/>
        <w:spacing w:line="600" w:lineRule="exact"/>
        <w:ind w:left="0" w:leftChars="0" w:right="0" w:rightChars="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i w:val="0"/>
          <w:color w:val="000000"/>
          <w:kern w:val="0"/>
          <w:sz w:val="40"/>
          <w:szCs w:val="40"/>
          <w:u w:val="none"/>
          <w:lang w:val="en-US" w:eastAsia="zh-CN" w:bidi="ar"/>
        </w:rPr>
      </w:pPr>
      <w:r>
        <w:rPr>
          <w:rFonts w:hint="eastAsia" w:ascii="方正小标宋简体" w:hAnsi="方正小标宋简体" w:eastAsia="方正小标宋简体" w:cs="方正小标宋简体"/>
          <w:b w:val="0"/>
          <w:bCs/>
          <w:i w:val="0"/>
          <w:color w:val="000000"/>
          <w:kern w:val="0"/>
          <w:sz w:val="40"/>
          <w:szCs w:val="40"/>
          <w:u w:val="none"/>
          <w:lang w:val="en-US" w:eastAsia="zh-CN" w:bidi="ar"/>
        </w:rPr>
        <w:t>省安监局冶金工贸企业安全生产大检查（督查）表</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both"/>
        <w:textAlignment w:val="auto"/>
        <w:outlineLvl w:val="9"/>
        <w:rPr>
          <w:rFonts w:hint="eastAsia" w:ascii="楷体_GB2312" w:hAnsi="楷体_GB2312" w:eastAsia="楷体_GB2312" w:cs="楷体_GB2312"/>
          <w:b w:val="0"/>
          <w:bCs/>
          <w:i w:val="0"/>
          <w:color w:val="000000"/>
          <w:kern w:val="0"/>
          <w:sz w:val="28"/>
          <w:szCs w:val="28"/>
          <w:u w:val="none"/>
          <w:lang w:val="en-US" w:eastAsia="zh-CN" w:bidi="ar"/>
        </w:rPr>
      </w:pPr>
      <w:r>
        <w:rPr>
          <w:rFonts w:hint="eastAsia" w:ascii="楷体_GB2312" w:hAnsi="楷体_GB2312" w:eastAsia="楷体_GB2312" w:cs="楷体_GB2312"/>
          <w:i w:val="0"/>
          <w:color w:val="000000"/>
          <w:sz w:val="28"/>
          <w:szCs w:val="28"/>
          <w:u w:val="none"/>
          <w:lang w:eastAsia="zh-CN"/>
        </w:rPr>
        <w:t>被检查单位：</w:t>
      </w:r>
      <w:r>
        <w:rPr>
          <w:rFonts w:hint="eastAsia" w:ascii="楷体_GB2312" w:hAnsi="楷体_GB2312" w:eastAsia="楷体_GB2312" w:cs="楷体_GB2312"/>
          <w:i w:val="0"/>
          <w:color w:val="000000"/>
          <w:sz w:val="28"/>
          <w:szCs w:val="28"/>
          <w:u w:val="single"/>
          <w:lang w:val="en-US" w:eastAsia="zh-CN"/>
        </w:rPr>
        <w:t xml:space="preserve">                   </w:t>
      </w:r>
      <w:r>
        <w:rPr>
          <w:rFonts w:hint="eastAsia" w:ascii="楷体_GB2312" w:hAnsi="楷体_GB2312" w:eastAsia="楷体_GB2312" w:cs="楷体_GB2312"/>
          <w:i w:val="0"/>
          <w:color w:val="000000"/>
          <w:sz w:val="28"/>
          <w:szCs w:val="28"/>
          <w:u w:val="none"/>
          <w:lang w:val="en-US" w:eastAsia="zh-CN"/>
        </w:rPr>
        <w:t xml:space="preserve">        </w:t>
      </w:r>
      <w:r>
        <w:rPr>
          <w:rFonts w:hint="eastAsia" w:ascii="楷体_GB2312" w:hAnsi="楷体_GB2312" w:eastAsia="楷体_GB2312" w:cs="楷体_GB2312"/>
          <w:i w:val="0"/>
          <w:color w:val="000000"/>
          <w:kern w:val="0"/>
          <w:sz w:val="28"/>
          <w:szCs w:val="28"/>
          <w:u w:val="none"/>
          <w:lang w:val="en-US" w:eastAsia="zh-CN" w:bidi="ar"/>
        </w:rPr>
        <w:t>检查时间：</w:t>
      </w:r>
      <w:r>
        <w:rPr>
          <w:rFonts w:hint="eastAsia" w:ascii="楷体_GB2312" w:hAnsi="楷体_GB2312" w:eastAsia="楷体_GB2312" w:cs="楷体_GB2312"/>
          <w:i w:val="0"/>
          <w:color w:val="000000"/>
          <w:kern w:val="0"/>
          <w:sz w:val="28"/>
          <w:szCs w:val="28"/>
          <w:u w:val="single"/>
          <w:lang w:val="en-US" w:eastAsia="zh-CN" w:bidi="ar"/>
        </w:rPr>
        <w:t xml:space="preserve">                   </w:t>
      </w:r>
    </w:p>
    <w:tbl>
      <w:tblPr>
        <w:tblStyle w:val="4"/>
        <w:tblW w:w="960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6"/>
        <w:gridCol w:w="3826"/>
        <w:gridCol w:w="353"/>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检查</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内容</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检查标准</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生产</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大检</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查情</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况</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召开专题会议安排自查自改情况。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建立隐患问题清单和整改清单情况。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3"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对排查出的重大事故隐患落实确保安全紧急措施和消除措施情况。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1"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隐患排查情况在厂内公示并上报当地安全监管部门和行业管理部门。</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生产</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管理</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责任</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落实</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全员安全生产责任制。</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主要负责人现场带班，分管安全和生产的负责人跟班作业。</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开展反“三违”情况。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2"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生产</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管理</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制度</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建立</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和执</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行情</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况</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制定安全生产制度及执行情况。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4"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企业负责人和安全生产管理人员安全知识与能力考核合格情况。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7"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从业人员持证上岗情况。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新、改、扩建项目安全设施“三同时”情况。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5"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风险</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管控</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安全生产重要设施、装备完好状况和日常管理维护情况。工业煤气（天然气）管道安全设施设置及巡检制度情况。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8"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开展风险辨识、评估、分级和公告情况。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较大危险因素和重大危险源登记建档、管控措施情况。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隐患</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排查</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治理</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事故隐患排查治理制度，实行闭环管理情况。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上级部门检查发现问题隐患整改落实情况。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汛期和中秋、国庆安全防范措施情况。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1"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专项</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行动</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和整</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治</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钢铁有色冶炼企业开展重大生产安全事故隐患排查治理专项行动企业安排部署及自查情况。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top"/>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自查出</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条隐患和问题，已整改</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钢铁有色冶炼企业自查及监管部门检查发现重大生产安全事故隐患整改进展情况。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top"/>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共有</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条重大生产安全事故隐患，已整改</w:t>
            </w:r>
            <w:r>
              <w:rPr>
                <w:rFonts w:hint="eastAsia" w:ascii="仿宋_GB2312" w:hAnsi="仿宋_GB2312" w:eastAsia="仿宋_GB2312" w:cs="仿宋_GB2312"/>
                <w:i w:val="0"/>
                <w:color w:val="000000"/>
                <w:kern w:val="0"/>
                <w:sz w:val="24"/>
                <w:szCs w:val="24"/>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top"/>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3"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粉尘防爆整治。重点检查金属粉尘、木粉尘、粮食饲料等粉尘企业和作业场所30人及以上企业各级监管部门组织专家会诊检查出的事故隐患整改治理情况。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5"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有限空间作业专项整治。重点检查有限空间台账、作业审批、劳动防护用品和应急救援器材配备、设置安全警示标志、相关方管理等。</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9" w:hRule="atLeast"/>
          <w:jc w:val="center"/>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应急</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管理</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应急组织体系建设情况。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专（兼）职应急救援队伍或与相关应急队伍签订协议情况。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jc w:val="center"/>
        </w:trPr>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b w:val="0"/>
                <w:bCs w:val="0"/>
                <w:i w:val="0"/>
                <w:color w:val="000000"/>
                <w:sz w:val="24"/>
                <w:szCs w:val="24"/>
                <w:u w:val="none"/>
              </w:rPr>
            </w:pP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编制应急预案和现场处置方案，组织应急演练情况。</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6"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现场</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检查</w:t>
            </w:r>
          </w:p>
        </w:tc>
        <w:tc>
          <w:tcPr>
            <w:tcW w:w="4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依据《安全生产法》等法律法规，对生产现场进行抽查检查。</w:t>
            </w:r>
          </w:p>
        </w:tc>
        <w:tc>
          <w:tcPr>
            <w:tcW w:w="4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top"/>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共发现隐患和问题</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条，其中重大生产安全事故隐患</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条。主要隐患和问题：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0"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检查</w:t>
            </w: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意见</w:t>
            </w:r>
          </w:p>
        </w:tc>
        <w:tc>
          <w:tcPr>
            <w:tcW w:w="88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outlineLvl w:val="9"/>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5" w:hRule="atLeast"/>
          <w:jc w:val="center"/>
        </w:trPr>
        <w:tc>
          <w:tcPr>
            <w:tcW w:w="461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楷体_GB2312" w:hAnsi="楷体_GB2312" w:eastAsia="楷体_GB2312" w:cs="楷体_GB2312"/>
                <w:b w:val="0"/>
                <w:bCs w:val="0"/>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楷体_GB2312" w:hAnsi="楷体_GB2312" w:eastAsia="楷体_GB2312" w:cs="楷体_GB2312"/>
                <w:b w:val="0"/>
                <w:bCs w:val="0"/>
                <w:i w:val="0"/>
                <w:color w:val="000000"/>
                <w:sz w:val="28"/>
                <w:szCs w:val="28"/>
                <w:u w:val="none"/>
              </w:rPr>
            </w:pPr>
            <w:r>
              <w:rPr>
                <w:rFonts w:hint="eastAsia" w:ascii="楷体_GB2312" w:hAnsi="楷体_GB2312" w:eastAsia="楷体_GB2312" w:cs="楷体_GB2312"/>
                <w:b w:val="0"/>
                <w:bCs w:val="0"/>
                <w:i w:val="0"/>
                <w:color w:val="000000"/>
                <w:kern w:val="0"/>
                <w:sz w:val="28"/>
                <w:szCs w:val="28"/>
                <w:u w:val="none"/>
                <w:lang w:val="en-US" w:eastAsia="zh-CN" w:bidi="ar"/>
              </w:rPr>
              <w:t>检查人员：</w:t>
            </w:r>
            <w:r>
              <w:rPr>
                <w:rFonts w:hint="eastAsia" w:ascii="楷体_GB2312" w:hAnsi="楷体_GB2312" w:eastAsia="楷体_GB2312" w:cs="楷体_GB2312"/>
                <w:b w:val="0"/>
                <w:bCs w:val="0"/>
                <w:i w:val="0"/>
                <w:color w:val="000000"/>
                <w:kern w:val="0"/>
                <w:sz w:val="28"/>
                <w:szCs w:val="28"/>
                <w:u w:val="single"/>
                <w:lang w:val="en-US" w:eastAsia="zh-CN" w:bidi="ar"/>
              </w:rPr>
              <w:t xml:space="preserve">                    </w:t>
            </w:r>
          </w:p>
        </w:tc>
        <w:tc>
          <w:tcPr>
            <w:tcW w:w="499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楷体_GB2312" w:hAnsi="楷体_GB2312" w:eastAsia="楷体_GB2312" w:cs="楷体_GB2312"/>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楷体_GB2312" w:hAnsi="楷体_GB2312" w:eastAsia="楷体_GB2312" w:cs="楷体_GB2312"/>
                <w:i w:val="0"/>
                <w:color w:val="000000"/>
                <w:sz w:val="28"/>
                <w:szCs w:val="28"/>
                <w:u w:val="none"/>
              </w:rPr>
            </w:pPr>
            <w:r>
              <w:rPr>
                <w:rFonts w:hint="eastAsia" w:ascii="楷体_GB2312" w:hAnsi="楷体_GB2312" w:eastAsia="楷体_GB2312" w:cs="楷体_GB2312"/>
                <w:i w:val="0"/>
                <w:color w:val="000000"/>
                <w:kern w:val="0"/>
                <w:sz w:val="28"/>
                <w:szCs w:val="28"/>
                <w:u w:val="none"/>
                <w:lang w:val="en-US" w:eastAsia="zh-CN" w:bidi="ar"/>
              </w:rPr>
              <w:t xml:space="preserve">    专家：</w:t>
            </w:r>
            <w:r>
              <w:rPr>
                <w:rFonts w:hint="eastAsia" w:ascii="楷体_GB2312" w:hAnsi="楷体_GB2312" w:eastAsia="楷体_GB2312" w:cs="楷体_GB2312"/>
                <w:i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jc w:val="center"/>
        </w:trPr>
        <w:tc>
          <w:tcPr>
            <w:tcW w:w="960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楷体_GB2312" w:hAnsi="楷体_GB2312" w:eastAsia="楷体_GB2312" w:cs="楷体_GB2312"/>
                <w:b w:val="0"/>
                <w:bCs w:val="0"/>
                <w:i w:val="0"/>
                <w:color w:val="000000"/>
                <w:sz w:val="28"/>
                <w:szCs w:val="28"/>
                <w:u w:val="none"/>
              </w:rPr>
            </w:pPr>
            <w:r>
              <w:rPr>
                <w:rFonts w:hint="eastAsia" w:ascii="楷体_GB2312" w:hAnsi="楷体_GB2312" w:eastAsia="楷体_GB2312" w:cs="楷体_GB2312"/>
                <w:b w:val="0"/>
                <w:bCs w:val="0"/>
                <w:i w:val="0"/>
                <w:color w:val="000000"/>
                <w:kern w:val="0"/>
                <w:sz w:val="28"/>
                <w:szCs w:val="28"/>
                <w:u w:val="none"/>
                <w:lang w:val="en-US" w:eastAsia="zh-CN" w:bidi="ar"/>
              </w:rPr>
              <w:t>注：各县可结合工作实际自行编制</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p>
    <w:p>
      <w:bookmarkStart w:id="0" w:name="_GoBack"/>
      <w:bookmarkEnd w:id="0"/>
    </w:p>
    <w:sectPr>
      <w:footerReference r:id="rId3" w:type="default"/>
      <w:pgSz w:w="11906" w:h="16838"/>
      <w:pgMar w:top="1797" w:right="1531" w:bottom="1797" w:left="1531"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62E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知足常乐</cp:lastModifiedBy>
  <dcterms:modified xsi:type="dcterms:W3CDTF">2018-08-30T00:24:43Z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