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sz w:val="28"/>
          <w:szCs w:val="2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-482600</wp:posOffset>
                </wp:positionV>
                <wp:extent cx="803275" cy="505460"/>
                <wp:effectExtent l="4445" t="4445" r="1143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pt;margin-top:-38pt;height:39.8pt;width:63.25pt;z-index:251658240;mso-width-relative:page;mso-height-relative:page;" fillcolor="#FFFFFF" filled="t" stroked="t" coordsize="21600,21600" o:gfxdata="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BemV1gAAAAgBAAAPAAAAAAAAAAEAIAAAACIAAABkcnMvZG93bnJldi54bWxQSwECFAAUAAAACACH&#10;TuJA4920D+0BAADnAwAADgAAAAAAAAABACAAAAAlAQAAZHJzL2Uyb0RvYy54bWxQSwUGAAAAAAYA&#10;BgBZAQAAhAUAAAAA&#10;">
                <v:path/>
                <v:fill on="t" focussize="0,0"/>
                <v:stroke color="#FFFFF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44"/>
          <w:szCs w:val="44"/>
        </w:rPr>
        <w:t>冶金工贸行业安全生产大检查情况统计表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8"/>
          <w:szCs w:val="28"/>
        </w:rPr>
        <w:t>填报单位：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8"/>
          <w:szCs w:val="28"/>
          <w:lang w:eastAsia="zh-CN"/>
        </w:rPr>
        <w:t>填报</w:t>
      </w:r>
      <w:r>
        <w:rPr>
          <w:rFonts w:hint="eastAsia" w:ascii="楷体_GB2312" w:eastAsia="楷体_GB2312"/>
          <w:sz w:val="28"/>
          <w:szCs w:val="28"/>
        </w:rPr>
        <w:t>时间：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tbl>
      <w:tblPr>
        <w:tblStyle w:val="4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检查人员情况</w:t>
            </w:r>
          </w:p>
        </w:tc>
        <w:tc>
          <w:tcPr>
            <w:tcW w:w="8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市、县共出动督查检查组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个，出动检查人员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人（次）；其中，市级督查检查组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个，出动检查人员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人（次）。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大检查情况</w:t>
            </w:r>
          </w:p>
        </w:tc>
        <w:tc>
          <w:tcPr>
            <w:tcW w:w="8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检查企业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家，排查一般隐患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项，已整改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项，整改率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%；排查重大隐患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条，已整改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条，整改率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%，挂牌督办重大隐患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条；落实隐患整改资金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万元。纠正治理“三违”行为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行政处罚情况</w:t>
            </w:r>
          </w:p>
        </w:tc>
        <w:tc>
          <w:tcPr>
            <w:tcW w:w="8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下达执法文书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份。责令限期整改企业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家，责令停产停业整顿企业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家，关闭取缔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家，实施行政处罚罚款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工作亮点</w:t>
            </w:r>
          </w:p>
        </w:tc>
        <w:tc>
          <w:tcPr>
            <w:tcW w:w="8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 w:right="0" w:rightChars="0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1.请各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9月7日开始，至10月21日止，每周四18时前</w:t>
      </w:r>
      <w:r>
        <w:rPr>
          <w:rFonts w:hint="eastAsia" w:ascii="仿宋_GB2312" w:hAnsi="仿宋_GB2312" w:eastAsia="仿宋_GB2312" w:cs="仿宋_GB2312"/>
          <w:sz w:val="28"/>
          <w:szCs w:val="28"/>
        </w:rPr>
        <w:t>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统计表电子版报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市局安四科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2.以上数据均填写累计统计数。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90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知足常乐</cp:lastModifiedBy>
  <dcterms:modified xsi:type="dcterms:W3CDTF">2018-08-30T00:24:21Z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