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</w:t>
      </w:r>
      <w:r>
        <w:rPr>
          <w:rFonts w:hint="eastAsia" w:ascii="仿宋_GB2312" w:eastAsia="仿宋_GB2312"/>
          <w:color w:val="auto"/>
          <w:sz w:val="32"/>
          <w:szCs w:val="32"/>
        </w:rPr>
        <w:t>中高低</w:t>
      </w:r>
      <w:r>
        <w:rPr>
          <w:rFonts w:hint="eastAsia" w:ascii="仿宋_GB2312" w:eastAsia="仿宋_GB2312"/>
          <w:sz w:val="32"/>
          <w:szCs w:val="32"/>
        </w:rPr>
        <w:t>风险所在县（区、市、直辖市的乡镇、街道）旅居史的考生，在严格实施分类防疫管控措施后，方可参加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</w:t>
      </w:r>
      <w:r>
        <w:rPr>
          <w:rFonts w:hint="eastAsia" w:ascii="仿宋_GB2312" w:eastAsia="仿宋_GB2312"/>
          <w:color w:val="auto"/>
          <w:sz w:val="32"/>
          <w:szCs w:val="32"/>
        </w:rPr>
        <w:t>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现场接受</w:t>
      </w:r>
      <w:r>
        <w:rPr>
          <w:rFonts w:hint="eastAsia" w:ascii="仿宋_GB2312" w:eastAsia="仿宋_GB2312"/>
          <w:sz w:val="32"/>
          <w:szCs w:val="32"/>
        </w:rPr>
        <w:t>防疫检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前48小时内核酸检测阴性证明的；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，凡违反我市常态化疫情防控有关规定，隐瞒、虚报旅居史、接触史和健康状况等疫情防控重点信息的，将依法依规追究责任。</w:t>
      </w: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2DDB3774"/>
    <w:rsid w:val="19383B62"/>
    <w:rsid w:val="193874F0"/>
    <w:rsid w:val="27BD7375"/>
    <w:rsid w:val="292F74F3"/>
    <w:rsid w:val="2DDB3774"/>
    <w:rsid w:val="2EC662C4"/>
    <w:rsid w:val="382B2DD7"/>
    <w:rsid w:val="4C771CF7"/>
    <w:rsid w:val="583137DE"/>
    <w:rsid w:val="61410DD1"/>
    <w:rsid w:val="795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517</Characters>
  <Lines>0</Lines>
  <Paragraphs>0</Paragraphs>
  <TotalTime>1</TotalTime>
  <ScaleCrop>false</ScaleCrop>
  <LinksUpToDate>false</LinksUpToDate>
  <CharactersWithSpaces>517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Administrator</cp:lastModifiedBy>
  <dcterms:modified xsi:type="dcterms:W3CDTF">2022-08-09T01:25:01Z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4B16E3D6BB054D709D09FB51F41DA3A5</vt:lpwstr>
  </property>
</Properties>
</file>